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BA8" w:rsidRPr="00F95BA8" w:rsidRDefault="00F95BA8" w:rsidP="00A550AD">
      <w:pPr>
        <w:spacing w:before="100" w:beforeAutospacing="1" w:after="100" w:afterAutospacing="1" w:line="240" w:lineRule="auto"/>
        <w:ind w:firstLine="284"/>
        <w:outlineLvl w:val="0"/>
        <w:rPr>
          <w:rFonts w:ascii="Times New Roman" w:eastAsia="Times New Roman" w:hAnsi="Times New Roman" w:cs="Times New Roman"/>
          <w:b/>
          <w:bCs/>
          <w:caps/>
          <w:color w:val="185EAC"/>
          <w:kern w:val="36"/>
          <w:sz w:val="48"/>
          <w:szCs w:val="48"/>
          <w:lang w:val="en-US"/>
        </w:rPr>
      </w:pPr>
      <w:r w:rsidRPr="00F95BA8">
        <w:rPr>
          <w:rFonts w:ascii="Times New Roman" w:eastAsia="Times New Roman" w:hAnsi="Times New Roman" w:cs="Times New Roman"/>
          <w:b/>
          <w:bCs/>
          <w:caps/>
          <w:color w:val="185EAC"/>
          <w:kern w:val="36"/>
          <w:sz w:val="48"/>
          <w:szCs w:val="48"/>
          <w:lang w:val="en-US"/>
        </w:rPr>
        <w:t>http://audit-invest.com.ua/news.php</w:t>
      </w:r>
    </w:p>
    <w:p w:rsidR="00F95BA8" w:rsidRPr="00F95BA8" w:rsidRDefault="00F95BA8" w:rsidP="00A550AD">
      <w:pPr>
        <w:spacing w:before="100" w:beforeAutospacing="1" w:after="100" w:afterAutospacing="1" w:line="240" w:lineRule="auto"/>
        <w:ind w:firstLine="284"/>
        <w:outlineLvl w:val="0"/>
        <w:rPr>
          <w:rFonts w:ascii="Times New Roman" w:eastAsia="Times New Roman" w:hAnsi="Times New Roman" w:cs="Times New Roman"/>
          <w:b/>
          <w:bCs/>
          <w:caps/>
          <w:color w:val="185EAC"/>
          <w:kern w:val="36"/>
          <w:sz w:val="48"/>
          <w:szCs w:val="48"/>
          <w:lang w:val="en-US"/>
        </w:rPr>
      </w:pPr>
    </w:p>
    <w:p w:rsidR="00F95BA8" w:rsidRPr="00F95BA8" w:rsidRDefault="00F95BA8" w:rsidP="00A550AD">
      <w:pPr>
        <w:spacing w:before="100" w:beforeAutospacing="1" w:after="100" w:afterAutospacing="1" w:line="240" w:lineRule="auto"/>
        <w:ind w:firstLine="284"/>
        <w:outlineLvl w:val="0"/>
        <w:rPr>
          <w:rFonts w:ascii="Times New Roman" w:eastAsia="Times New Roman" w:hAnsi="Times New Roman" w:cs="Times New Roman"/>
          <w:b/>
          <w:bCs/>
          <w:caps/>
          <w:color w:val="185EAC"/>
          <w:kern w:val="36"/>
          <w:sz w:val="48"/>
          <w:szCs w:val="48"/>
          <w:lang w:val="en-US"/>
        </w:rPr>
      </w:pPr>
    </w:p>
    <w:p w:rsidR="00A550AD" w:rsidRPr="00A550AD" w:rsidRDefault="00A550AD" w:rsidP="00A550AD">
      <w:pPr>
        <w:spacing w:before="100" w:beforeAutospacing="1" w:after="100" w:afterAutospacing="1" w:line="240" w:lineRule="auto"/>
        <w:ind w:firstLine="284"/>
        <w:outlineLvl w:val="0"/>
        <w:rPr>
          <w:rFonts w:ascii="Times New Roman" w:eastAsia="Times New Roman" w:hAnsi="Times New Roman" w:cs="Times New Roman"/>
          <w:b/>
          <w:bCs/>
          <w:kern w:val="36"/>
          <w:sz w:val="48"/>
          <w:szCs w:val="48"/>
        </w:rPr>
      </w:pPr>
      <w:r w:rsidRPr="00A550AD">
        <w:rPr>
          <w:rFonts w:ascii="Times New Roman" w:eastAsia="Times New Roman" w:hAnsi="Times New Roman" w:cs="Times New Roman"/>
          <w:b/>
          <w:bCs/>
          <w:caps/>
          <w:color w:val="185EAC"/>
          <w:kern w:val="36"/>
          <w:sz w:val="48"/>
          <w:szCs w:val="48"/>
        </w:rPr>
        <w:t>КРАТКОЕ СОДЕРЖАНИЕ семинара</w:t>
      </w:r>
      <w:r w:rsidRPr="00A550AD">
        <w:rPr>
          <w:rFonts w:ascii="Times New Roman" w:eastAsia="Times New Roman" w:hAnsi="Times New Roman" w:cs="Times New Roman"/>
          <w:b/>
          <w:bCs/>
          <w:color w:val="185EAC"/>
          <w:kern w:val="36"/>
          <w:sz w:val="48"/>
          <w:szCs w:val="48"/>
        </w:rPr>
        <w:t xml:space="preserve"> 28 февраля 2011 г.</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1.</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 xml:space="preserve">Об утверждении Порядка учета плательщиков налогов и сборов и признании </w:t>
      </w:r>
      <w:proofErr w:type="gramStart"/>
      <w:r w:rsidRPr="00A550AD">
        <w:rPr>
          <w:rFonts w:ascii="Times New Roman" w:eastAsia="Times New Roman" w:hAnsi="Times New Roman" w:cs="Times New Roman"/>
          <w:b/>
          <w:bCs/>
          <w:caps/>
          <w:color w:val="993300"/>
          <w:sz w:val="24"/>
          <w:szCs w:val="24"/>
        </w:rPr>
        <w:t>утратившими</w:t>
      </w:r>
      <w:proofErr w:type="gramEnd"/>
      <w:r w:rsidRPr="00A550AD">
        <w:rPr>
          <w:rFonts w:ascii="Times New Roman" w:eastAsia="Times New Roman" w:hAnsi="Times New Roman" w:cs="Times New Roman"/>
          <w:b/>
          <w:bCs/>
          <w:caps/>
          <w:color w:val="993300"/>
          <w:sz w:val="24"/>
          <w:szCs w:val="24"/>
        </w:rPr>
        <w:t xml:space="preserve"> силу приказов ГНАУ: приказ ГНАУ от 22.12.2010 г. №979.</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i/>
          <w:iCs/>
          <w:sz w:val="24"/>
          <w:szCs w:val="24"/>
        </w:rPr>
        <w:t>С 14.01.2011 г. вступил в силу приказ ГНАУ № 979 от 22.12.2010 г. «Об утверждении Порядка учета плательщиков налогов и сборов и признании утратившими силу приказов ГНАУ».</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В соответствии с этим приказом утратили силу такие документы:</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1. Приказ ГНАУ от 19.02.1998 № 80 «Об утверждении инструкции о порядке учета налогоплательщиков».</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2. Приказ ГНАУ № 380 от 03.08.1998 «Об утверждении Порядка присвоения регистрационных номеров налогоплательщиков».</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Также с 01.04.2011 г. утратит силу приказ № 293 от 12.08.1997 «Об утверждении Положения о порядке регистрации и учета постоянных представительств нерезидентов в Украине в качестве плательщиков налога на прибыль», и связанные с ним изменения.</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Так как, теперь в соответствии п. 1.4 этого порядка налогоплательщики в целях проведения налогового контроля подлежат регистрации или постановке на учет в органах ГНС по основному месту учета, а также по неосновному месту учета, следует обратить внимание  на раздел 7 и 8.</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В п.7.2 раздела VII «Порядок постановки на учет по неосновному месту учета налогоплательщика» говорится, что в течение 10 рабочих дней после создания обособленного подразделения, регистрации движимого или недвижимого имущества либо открытия объекта или подразделения, через которые осуществляется деятельность или которые подлежат налогообложению либо связаны с налогообложением, налогоплательщик обязан подать в соответствующий орган ГНС регистрационное заявление с отметкой «учет по</w:t>
      </w:r>
      <w:proofErr w:type="gramEnd"/>
      <w:r w:rsidRPr="00A550AD">
        <w:rPr>
          <w:rFonts w:ascii="Times New Roman" w:eastAsia="Times New Roman" w:hAnsi="Times New Roman" w:cs="Times New Roman"/>
          <w:sz w:val="24"/>
          <w:szCs w:val="24"/>
        </w:rPr>
        <w:t xml:space="preserve"> неосновному месту».</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А п. 8.2. раздела </w:t>
      </w:r>
      <w:r w:rsidRPr="00A550AD">
        <w:rPr>
          <w:rFonts w:ascii="Times New Roman" w:eastAsia="Times New Roman" w:hAnsi="Times New Roman" w:cs="Times New Roman"/>
          <w:sz w:val="24"/>
          <w:szCs w:val="24"/>
          <w:lang w:val="en-US"/>
        </w:rPr>
        <w:t>VIII</w:t>
      </w:r>
      <w:r w:rsidRPr="00A550AD">
        <w:rPr>
          <w:rFonts w:ascii="Times New Roman" w:eastAsia="Times New Roman" w:hAnsi="Times New Roman" w:cs="Times New Roman"/>
          <w:sz w:val="24"/>
          <w:szCs w:val="24"/>
        </w:rPr>
        <w:t xml:space="preserve"> определяет понятие объектов налогообложения и обязывает налогоплательщика становиться на учет по неосновному месту в органе ГНС по местонахождения такого объекта в соответствии с разделом VII.</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lastRenderedPageBreak/>
        <w:t xml:space="preserve">Также в п. 8.7. нам сообщается о том, что рекомендованный справочник типов объектов налогообложения обнародуется </w:t>
      </w:r>
      <w:proofErr w:type="gramStart"/>
      <w:r w:rsidRPr="00A550AD">
        <w:rPr>
          <w:rFonts w:ascii="Times New Roman" w:eastAsia="Times New Roman" w:hAnsi="Times New Roman" w:cs="Times New Roman"/>
          <w:sz w:val="24"/>
          <w:szCs w:val="24"/>
        </w:rPr>
        <w:t>на</w:t>
      </w:r>
      <w:proofErr w:type="gramEnd"/>
      <w:r w:rsidRPr="00A550AD">
        <w:rPr>
          <w:rFonts w:ascii="Times New Roman" w:eastAsia="Times New Roman" w:hAnsi="Times New Roman" w:cs="Times New Roman"/>
          <w:sz w:val="24"/>
          <w:szCs w:val="24"/>
        </w:rPr>
        <w:t xml:space="preserve"> официальном </w:t>
      </w:r>
      <w:proofErr w:type="spellStart"/>
      <w:r w:rsidRPr="00A550AD">
        <w:rPr>
          <w:rFonts w:ascii="Times New Roman" w:eastAsia="Times New Roman" w:hAnsi="Times New Roman" w:cs="Times New Roman"/>
          <w:sz w:val="24"/>
          <w:szCs w:val="24"/>
        </w:rPr>
        <w:t>веб-сайте</w:t>
      </w:r>
      <w:proofErr w:type="spellEnd"/>
      <w:r w:rsidRPr="00A550AD">
        <w:rPr>
          <w:rFonts w:ascii="Times New Roman" w:eastAsia="Times New Roman" w:hAnsi="Times New Roman" w:cs="Times New Roman"/>
          <w:sz w:val="24"/>
          <w:szCs w:val="24"/>
        </w:rPr>
        <w:t xml:space="preserve"> центрального органа ГНС.</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Раздел Х описывает порядок перевода налогоплательщика на обслуживание с одного органа ГНС в другой. В целом, порядок перехода существенных изменений не претерпел. Однако согласно п. 10.3, в случае, если налогоплательщик осуществляет хозяйственную деятельность через производственные и функциональные подразделения, которые находятся на территории иной административно-территориальной единицы, нежели местонахождение налогоплательщика, центральный орган ГНС в соответствии с информацией по полученным лицензиям (торговым патентам, разрешениям) может принять решение об изменении основного места учета налогоплательщика. </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В таком случае инициатором перехода из одного органа ГНС в другой будет выступать именно налоговая инспекция.</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2.</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Порядок оформления результатов документальных проверок по вопросам соблюдения налогового, валютного и другого законодательства: приказ ГНАУ от 22.12.2010 г. №984.</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i/>
          <w:iCs/>
          <w:sz w:val="24"/>
          <w:szCs w:val="24"/>
        </w:rPr>
        <w:t>31.01.2011 г. вступил в силу приказ ГНАУ от 22.12.2010 г. № 984 «Об утверждении Порядка оформления результатов документальных проверок по вопросам соблюдения налогового, валютного и другого законодательства» (далее Порядок № 984).</w:t>
      </w:r>
      <w:r w:rsidRPr="00A550AD">
        <w:rPr>
          <w:rFonts w:ascii="Times New Roman" w:eastAsia="Times New Roman" w:hAnsi="Times New Roman" w:cs="Times New Roman"/>
          <w:sz w:val="24"/>
          <w:szCs w:val="24"/>
        </w:rPr>
        <w:t xml:space="preserve"> </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Порядок № 984 применяется для отражения результатов документальных проверок  </w:t>
      </w:r>
      <w:r w:rsidRPr="00A550AD">
        <w:rPr>
          <w:rFonts w:ascii="Times New Roman" w:eastAsia="Times New Roman" w:hAnsi="Times New Roman" w:cs="Times New Roman"/>
          <w:i/>
          <w:iCs/>
          <w:sz w:val="24"/>
          <w:szCs w:val="24"/>
          <w:u w:val="single"/>
        </w:rPr>
        <w:t xml:space="preserve">юридических лиц </w:t>
      </w:r>
      <w:r w:rsidRPr="00A550AD">
        <w:rPr>
          <w:rFonts w:ascii="Times New Roman" w:eastAsia="Times New Roman" w:hAnsi="Times New Roman" w:cs="Times New Roman"/>
          <w:sz w:val="24"/>
          <w:szCs w:val="24"/>
        </w:rPr>
        <w:t xml:space="preserve">(резидентов и нерезидентов) </w:t>
      </w:r>
      <w:r w:rsidRPr="00A550AD">
        <w:rPr>
          <w:rFonts w:ascii="Times New Roman" w:eastAsia="Times New Roman" w:hAnsi="Times New Roman" w:cs="Times New Roman"/>
          <w:i/>
          <w:iCs/>
          <w:sz w:val="24"/>
          <w:szCs w:val="24"/>
          <w:u w:val="single"/>
        </w:rPr>
        <w:t>и их обособленных подразделений</w:t>
      </w:r>
      <w:r w:rsidRPr="00A550AD">
        <w:rPr>
          <w:rFonts w:ascii="Times New Roman" w:eastAsia="Times New Roman" w:hAnsi="Times New Roman" w:cs="Times New Roman"/>
          <w:sz w:val="24"/>
          <w:szCs w:val="24"/>
        </w:rPr>
        <w:t>.</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Результаты документальных проверок оформляются в форме акта или справки. В случае установления при проверке нарушений составляется акт, а при отсутствии нарушений – справка.</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В акте не допускается определение вида и размера штрафных (финансовых) санкций за установленные нарушения.</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Плательщик налога имеет право принимать участие в рассмотрении возражений, о чем такой плательщик налога указывает в возражениях к акту.  При этом орган государственной налоговой службы (ГНС) обязан уведомить такого плательщика налога о месте и времени проведения рассмотрения.</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В случае если должностное (служебное) лицо органа ГНС, осуществляющего проверку, </w:t>
      </w:r>
      <w:r w:rsidRPr="00A550AD">
        <w:rPr>
          <w:rFonts w:ascii="Times New Roman" w:eastAsia="Times New Roman" w:hAnsi="Times New Roman" w:cs="Times New Roman"/>
          <w:i/>
          <w:iCs/>
          <w:sz w:val="24"/>
          <w:szCs w:val="24"/>
          <w:u w:val="single"/>
        </w:rPr>
        <w:t>отказывается по любым причинам от учета документов</w:t>
      </w:r>
      <w:r w:rsidRPr="00A550AD">
        <w:rPr>
          <w:rFonts w:ascii="Times New Roman" w:eastAsia="Times New Roman" w:hAnsi="Times New Roman" w:cs="Times New Roman"/>
          <w:sz w:val="24"/>
          <w:szCs w:val="24"/>
        </w:rPr>
        <w:t>, предоставленных во время проведения проверки, налогоплательщик имеет право до окончания проверки предоставить копии таких документов непосредственного в орган ГНС.</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Копии документов, определенные в акте проверки как отсутствующие могут быть предоставлены в орган ГНС  в течение трех рабочих дней со дня получения акта документальной проверки.</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lastRenderedPageBreak/>
        <w:t>3.</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Применение штрафных санкций, предусмотренных Налоговым Кодексом: письма ГНАУ от 03.02.2011 г. №2963, от 14.02.2011 г. №4091, письмо МЮУ от 11.01.2011 г. №18222.</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 xml:space="preserve">Письмом № 2963/7/10-1017/302 от 03.02.2011 ГНАУ отозвала свое письмо № 29429/7/10-1017/5190 от 31.12.2010  и разъяснила, что штрафная санкция в размере 1 грн. применяется исключительно при исчислении налоговых обязательств за период с 01.01.2011 по 30.06.2011 г. За все иные ошибки налогового характера применяются штрафные санкции предусмотренные главой 11 раздела </w:t>
      </w:r>
      <w:r w:rsidRPr="00A550AD">
        <w:rPr>
          <w:rFonts w:ascii="Times New Roman" w:eastAsia="Times New Roman" w:hAnsi="Times New Roman" w:cs="Times New Roman"/>
          <w:sz w:val="24"/>
          <w:szCs w:val="24"/>
          <w:lang w:val="en-US"/>
        </w:rPr>
        <w:t>II</w:t>
      </w:r>
      <w:r w:rsidRPr="00A550AD">
        <w:rPr>
          <w:rFonts w:ascii="Times New Roman" w:eastAsia="Times New Roman" w:hAnsi="Times New Roman" w:cs="Times New Roman"/>
          <w:sz w:val="24"/>
          <w:szCs w:val="24"/>
        </w:rPr>
        <w:t xml:space="preserve"> Кодекса.</w:t>
      </w:r>
      <w:proofErr w:type="gramEnd"/>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В письме ГНАУ № 4091/7/23-4017/131 от 14.02.2011 сообщается, что в случае установления нарушений, совершенных в периоды до 01.01.2011 по результатам проверок, налоговые уведомления-решения по которым приняты после 01.01.2011, применяются штрафные санкции, предусмотренные главой 11 раздела </w:t>
      </w:r>
      <w:r w:rsidRPr="00A550AD">
        <w:rPr>
          <w:rFonts w:ascii="Times New Roman" w:eastAsia="Times New Roman" w:hAnsi="Times New Roman" w:cs="Times New Roman"/>
          <w:sz w:val="24"/>
          <w:szCs w:val="24"/>
          <w:lang w:val="en-US"/>
        </w:rPr>
        <w:t>II</w:t>
      </w:r>
      <w:r w:rsidRPr="00A550AD">
        <w:rPr>
          <w:rFonts w:ascii="Times New Roman" w:eastAsia="Times New Roman" w:hAnsi="Times New Roman" w:cs="Times New Roman"/>
          <w:sz w:val="24"/>
          <w:szCs w:val="24"/>
        </w:rPr>
        <w:t xml:space="preserve"> Кодекса. Вместе с тем при применении вышеприведенных штрафных санкций ГНАУ будет учитывать предписания части второй статьи 58 Конституции Украины в части того, что никто не может отвечать за деяния, которые на время их совершения не признавались законом как правонарушение. </w:t>
      </w:r>
      <w:proofErr w:type="gramStart"/>
      <w:r w:rsidRPr="00A550AD">
        <w:rPr>
          <w:rFonts w:ascii="Times New Roman" w:eastAsia="Times New Roman" w:hAnsi="Times New Roman" w:cs="Times New Roman"/>
          <w:sz w:val="24"/>
          <w:szCs w:val="24"/>
        </w:rPr>
        <w:t>То есть за нарушения, совершенные в предыдущих периодах,  и выявленные после даты вступления в силу Кодекса, не допускается применение санкций, которые не были предусмотрены нормативно-правовыми актами до 01.01.2011 (в случае установления завышения суммы задекларированного отрицательного значения объекта обложения налогом на прибыль, задекларированной суммы отрицательного значения НДС, а также завышения заявленной к возмещению из бюджета суммы НДС, которая на время проверки</w:t>
      </w:r>
      <w:proofErr w:type="gramEnd"/>
      <w:r w:rsidRPr="00A550AD">
        <w:rPr>
          <w:rFonts w:ascii="Times New Roman" w:eastAsia="Times New Roman" w:hAnsi="Times New Roman" w:cs="Times New Roman"/>
          <w:sz w:val="24"/>
          <w:szCs w:val="24"/>
        </w:rPr>
        <w:t xml:space="preserve"> не возмещена).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4.</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 перечислении единого налога с 01 января 2011 года: совместное письмо ГНАУ и ПФУ от 14.02.2011 р. № 2634/03-20, № 3986/7/19-0117/165.</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i/>
          <w:iCs/>
          <w:sz w:val="24"/>
          <w:szCs w:val="24"/>
        </w:rPr>
        <w:t xml:space="preserve">Пенсионный фонд Украины </w:t>
      </w:r>
      <w:r w:rsidRPr="00A550AD">
        <w:rPr>
          <w:rFonts w:ascii="Times New Roman" w:eastAsia="Times New Roman" w:hAnsi="Times New Roman" w:cs="Times New Roman"/>
          <w:sz w:val="24"/>
          <w:szCs w:val="24"/>
        </w:rPr>
        <w:t xml:space="preserve">и </w:t>
      </w:r>
      <w:r w:rsidRPr="00A550AD">
        <w:rPr>
          <w:rFonts w:ascii="Times New Roman" w:eastAsia="Times New Roman" w:hAnsi="Times New Roman" w:cs="Times New Roman"/>
          <w:i/>
          <w:iCs/>
          <w:sz w:val="24"/>
          <w:szCs w:val="24"/>
        </w:rPr>
        <w:t xml:space="preserve">ГНАУ </w:t>
      </w:r>
      <w:r w:rsidRPr="00A550AD">
        <w:rPr>
          <w:rFonts w:ascii="Times New Roman" w:eastAsia="Times New Roman" w:hAnsi="Times New Roman" w:cs="Times New Roman"/>
          <w:sz w:val="24"/>
          <w:szCs w:val="24"/>
        </w:rPr>
        <w:t xml:space="preserve">в </w:t>
      </w:r>
      <w:r w:rsidRPr="00A550AD">
        <w:rPr>
          <w:rFonts w:ascii="Times New Roman" w:eastAsia="Times New Roman" w:hAnsi="Times New Roman" w:cs="Times New Roman"/>
          <w:i/>
          <w:iCs/>
          <w:sz w:val="24"/>
          <w:szCs w:val="24"/>
        </w:rPr>
        <w:t xml:space="preserve">совместном письме от 14.02.2011 г. № 2634/03-20, № 3986/7/19-0117/165 </w:t>
      </w:r>
      <w:r w:rsidRPr="00A550AD">
        <w:rPr>
          <w:rFonts w:ascii="Times New Roman" w:eastAsia="Times New Roman" w:hAnsi="Times New Roman" w:cs="Times New Roman"/>
          <w:sz w:val="24"/>
          <w:szCs w:val="24"/>
        </w:rPr>
        <w:t>договорились, что ГНАУ проведет инвентаризацию начисленных и уплаченных сумм единого налога в разрезе плательщиков налогов с целью обеспечения полноты отражения в учете указанных сумм.</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 xml:space="preserve">Управления Пенсионного фонда на основе результатов инвентаризации смогут произвести зачисление части сумм уплаченных единого и фиксированного налогов в декабре 2010 года и в период с 1 января 2011 года по 7 февраля 2011 года за январь 2011 года (будущие периоды 2011 года), направленных </w:t>
      </w:r>
      <w:proofErr w:type="spellStart"/>
      <w:r w:rsidRPr="00A550AD">
        <w:rPr>
          <w:rFonts w:ascii="Times New Roman" w:eastAsia="Times New Roman" w:hAnsi="Times New Roman" w:cs="Times New Roman"/>
          <w:sz w:val="24"/>
          <w:szCs w:val="24"/>
        </w:rPr>
        <w:t>Госказначейством</w:t>
      </w:r>
      <w:proofErr w:type="spellEnd"/>
      <w:r w:rsidRPr="00A550AD">
        <w:rPr>
          <w:rFonts w:ascii="Times New Roman" w:eastAsia="Times New Roman" w:hAnsi="Times New Roman" w:cs="Times New Roman"/>
          <w:sz w:val="24"/>
          <w:szCs w:val="24"/>
        </w:rPr>
        <w:t xml:space="preserve"> в Пенсионный фонд, в счет уплаты взносов на общеобязательное государственное пенсионное страхование.</w:t>
      </w:r>
      <w:proofErr w:type="gramEnd"/>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5.</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Разъяснение положений Закона Украины «О ЕСВ»: письмо исполнительной дирекции ФСС по ВПТ от 13.01.2011 г. №01-16-45.</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1. Вся сумма задолженности, указанная в строке 12 таблицы III отчета по форме Ф4-ФСС по ВПТ по состоянию на 01.01.2011 г. должна быть возмещена страхователю Фондом.</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2. Получив денежные средства от органа Фонда, страхователь обязан выплатить пособие по временной нетрудоспособности, беременности и родам застрахованному лицу </w:t>
      </w:r>
      <w:r w:rsidRPr="00A550AD">
        <w:rPr>
          <w:rFonts w:ascii="Times New Roman" w:eastAsia="Times New Roman" w:hAnsi="Times New Roman" w:cs="Times New Roman"/>
          <w:b/>
          <w:bCs/>
          <w:i/>
          <w:iCs/>
          <w:sz w:val="24"/>
          <w:szCs w:val="24"/>
        </w:rPr>
        <w:t>не позднее ближайшего дня, установленного для выплаты зарплаты</w:t>
      </w:r>
      <w:r w:rsidRPr="00A550AD">
        <w:rPr>
          <w:rFonts w:ascii="Times New Roman" w:eastAsia="Times New Roman" w:hAnsi="Times New Roman" w:cs="Times New Roman"/>
          <w:sz w:val="24"/>
          <w:szCs w:val="24"/>
        </w:rPr>
        <w:t xml:space="preserve">, а пособие на </w:t>
      </w:r>
      <w:r w:rsidRPr="00A550AD">
        <w:rPr>
          <w:rFonts w:ascii="Times New Roman" w:eastAsia="Times New Roman" w:hAnsi="Times New Roman" w:cs="Times New Roman"/>
          <w:sz w:val="24"/>
          <w:szCs w:val="24"/>
        </w:rPr>
        <w:lastRenderedPageBreak/>
        <w:t xml:space="preserve">погребение – </w:t>
      </w:r>
      <w:r w:rsidRPr="00A550AD">
        <w:rPr>
          <w:rFonts w:ascii="Times New Roman" w:eastAsia="Times New Roman" w:hAnsi="Times New Roman" w:cs="Times New Roman"/>
          <w:b/>
          <w:bCs/>
          <w:i/>
          <w:iCs/>
          <w:sz w:val="24"/>
          <w:szCs w:val="24"/>
        </w:rPr>
        <w:t>не позднее следующего рабочего дня после получения</w:t>
      </w:r>
      <w:r w:rsidRPr="00A550AD">
        <w:rPr>
          <w:rFonts w:ascii="Times New Roman" w:eastAsia="Times New Roman" w:hAnsi="Times New Roman" w:cs="Times New Roman"/>
          <w:sz w:val="24"/>
          <w:szCs w:val="24"/>
        </w:rPr>
        <w:t xml:space="preserve"> страховых денежных средств от Фонда.</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Полученные от Фонда денежные средства не могут быть использованы на любые другие цели, и в случае превышения фактических расходов, неиспользованные страховые денежные средства </w:t>
      </w:r>
      <w:r w:rsidRPr="00A550AD">
        <w:rPr>
          <w:rFonts w:ascii="Times New Roman" w:eastAsia="Times New Roman" w:hAnsi="Times New Roman" w:cs="Times New Roman"/>
          <w:b/>
          <w:bCs/>
          <w:i/>
          <w:iCs/>
          <w:sz w:val="24"/>
          <w:szCs w:val="24"/>
        </w:rPr>
        <w:t>должны быть в течение трех дней возвращены</w:t>
      </w:r>
      <w:r w:rsidRPr="00A550AD">
        <w:rPr>
          <w:rFonts w:ascii="Times New Roman" w:eastAsia="Times New Roman" w:hAnsi="Times New Roman" w:cs="Times New Roman"/>
          <w:sz w:val="24"/>
          <w:szCs w:val="24"/>
        </w:rPr>
        <w:t xml:space="preserve"> органу Фонда, который осуществлял финансирование.</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3. Физические лица – предприниматели, избравшие упрощенную систему налогообложения, будут иметь право на материальное обеспечение и социальные услуги, только в случае уплаты единого социального взноса на добровольных началах (п.11 ст. 9 Закона «О ЕСВ»).</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6.</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Порядок применения ставок НДФЛ к месячному доходу: письма ГНАУ от 03.02.2011 г. №2346, №2918, №2345, №2919.</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Порядок применения ставок НДФЛ к месячному доходу: письма ГНАУ от 03.02.2011 г. №2346, №2918, №2345, №2919.</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В письмах ГНАУ на конкретных примерах разъяснен алгоритм расчета НДФЛ. Общая сумма полученных плательщиком налога в отчетном месяце доходов делится </w:t>
      </w:r>
      <w:proofErr w:type="gramStart"/>
      <w:r w:rsidRPr="00A550AD">
        <w:rPr>
          <w:rFonts w:ascii="Times New Roman" w:eastAsia="Times New Roman" w:hAnsi="Times New Roman" w:cs="Times New Roman"/>
          <w:sz w:val="24"/>
          <w:szCs w:val="24"/>
        </w:rPr>
        <w:t>на</w:t>
      </w:r>
      <w:proofErr w:type="gramEnd"/>
      <w:r w:rsidRPr="00A550AD">
        <w:rPr>
          <w:rFonts w:ascii="Times New Roman" w:eastAsia="Times New Roman" w:hAnsi="Times New Roman" w:cs="Times New Roman"/>
          <w:sz w:val="24"/>
          <w:szCs w:val="24"/>
        </w:rPr>
        <w:t>:</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1. Десятикратный размер минимальной заработной платы на 01.01.2011 г., т.е. 9410 грн.</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База налогообложения =  9410 – ЕСВ (9410 </w:t>
      </w:r>
      <w:proofErr w:type="spellStart"/>
      <w:r w:rsidRPr="00A550AD">
        <w:rPr>
          <w:rFonts w:ascii="Times New Roman" w:eastAsia="Times New Roman" w:hAnsi="Times New Roman" w:cs="Times New Roman"/>
          <w:sz w:val="24"/>
          <w:szCs w:val="24"/>
        </w:rPr>
        <w:t>х</w:t>
      </w:r>
      <w:proofErr w:type="spellEnd"/>
      <w:r w:rsidRPr="00A550AD">
        <w:rPr>
          <w:rFonts w:ascii="Times New Roman" w:eastAsia="Times New Roman" w:hAnsi="Times New Roman" w:cs="Times New Roman"/>
          <w:sz w:val="24"/>
          <w:szCs w:val="24"/>
        </w:rPr>
        <w:t xml:space="preserve"> 3,6%), </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Ставка налогообложения = 15%</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2. Сумму дохода, превышающего 9410 грн. </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База налогообложения = сумма превышения над 9410 грн. – ЕСВ (сумма превышения </w:t>
      </w:r>
      <w:proofErr w:type="spellStart"/>
      <w:r w:rsidRPr="00A550AD">
        <w:rPr>
          <w:rFonts w:ascii="Times New Roman" w:eastAsia="Times New Roman" w:hAnsi="Times New Roman" w:cs="Times New Roman"/>
          <w:sz w:val="24"/>
          <w:szCs w:val="24"/>
        </w:rPr>
        <w:t>х</w:t>
      </w:r>
      <w:proofErr w:type="spellEnd"/>
      <w:r w:rsidRPr="00A550AD">
        <w:rPr>
          <w:rFonts w:ascii="Times New Roman" w:eastAsia="Times New Roman" w:hAnsi="Times New Roman" w:cs="Times New Roman"/>
          <w:sz w:val="24"/>
          <w:szCs w:val="24"/>
        </w:rPr>
        <w:t xml:space="preserve"> 3,6%), </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Ставка   налогообложения = 17%</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Общий размер НДФЛ равен сумме налога, исчисленного по ставкам 15 и 17%.</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7.</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 xml:space="preserve">Обложение НДФЛ выплат по больничным листам по ВПТ: письмо ГНАУ от 19.01.2011 г. №697.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Выплаты по листкам нетрудоспособности (оплата первых 5-ти дней за счет средств работодателя и пособие по временной нетрудоспособности за счет средств ФСС) в целях обложения налогом на доходы физических лиц приравниваются к заработной плате и учитываются при определении предельной суммы дохода, дающего право на получение налоговой социальной льготы. Указанные суммы включаются в состав месячного налогооблагаемого дохода плательщика и облагаются налогом с учетом норм п. 164.6 НКУ.</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lastRenderedPageBreak/>
        <w:t>Информация:</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8.</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 подтверждении вида деятельности предпринимателей: письмо ПФУ от 06.01.2011 г. №167, разъяснение ПФУ от 13.01.2011 г., письмо ГНАУ от 03.02.2011 р. N 1085;</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По данному вопросу одновременно издали разъяснения Пенсионный фонд Украины – касаемо начисления и уплаты ЕСВ и Государственная налоговая администрация – касаемо удержания НДФЛ.</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Согласно Закона</w:t>
      </w:r>
      <w:proofErr w:type="gramEnd"/>
      <w:r w:rsidRPr="00A550AD">
        <w:rPr>
          <w:rFonts w:ascii="Times New Roman" w:eastAsia="Times New Roman" w:hAnsi="Times New Roman" w:cs="Times New Roman"/>
          <w:sz w:val="24"/>
          <w:szCs w:val="24"/>
        </w:rPr>
        <w:t xml:space="preserve"> Украины о ЕСВ при выплате (начислении) дохода частным предпринимателям ЕСВ не начисляется в том случае, когда выполняемые работы (предоставляемые услуги) соответствуют видам деятельности, указанным в свидетельстве о государственной регистрации. Однако в свидетельстве о государственной регистрации предпринимателя виды деятельности не указываются.</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Согласно разъяснений</w:t>
      </w:r>
      <w:proofErr w:type="gramEnd"/>
      <w:r w:rsidRPr="00A550AD">
        <w:rPr>
          <w:rFonts w:ascii="Times New Roman" w:eastAsia="Times New Roman" w:hAnsi="Times New Roman" w:cs="Times New Roman"/>
          <w:sz w:val="24"/>
          <w:szCs w:val="24"/>
        </w:rPr>
        <w:t xml:space="preserve"> ПФУ от 13.01.11г. и письма от 06.01.11г. №167 для подтверждения вида деятельности предпринимателя работодатель может использовать информацию, предоставленную государственным регистратором, где указываются виды деятельности предпринимателя в соответствии с КВЭД. Если частный предприниматель не предоставляет информацию из ЕГР, то юридическое лицо может самостоятельно получить информацию о видах деятельности предпринимателя. </w:t>
      </w:r>
    </w:p>
    <w:p w:rsidR="00A550AD" w:rsidRPr="00A550AD" w:rsidRDefault="00A550AD" w:rsidP="00A550AD">
      <w:pPr>
        <w:spacing w:before="100" w:beforeAutospacing="1" w:after="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Налоговым кодексом Украины предусмотрено, что при начислении (выплате) физическому лицу – предпринимателю дохода в пределах выбранных им видов деятельности, субъект хозяйствования, выплачивающий (начисляющий) такой доход, не удерживает налог на доходы у источника выплаты, если физическое лицо – предприниматель предоставит копию свидетельства о государственной регистрации как субъекта предпринимательской деятельности. Однако в свидетельстве о государственной регистрации субъекта предпринимательской деятельности не содержатся данные о видах деятельности предпринимателя. В письме ГНАУ от 03.02.2011г. №1085 налоговая администрация рекомендует получать от предпринимателя справку, в которой указывается перечень видов деятельности, </w:t>
      </w:r>
      <w:proofErr w:type="gramStart"/>
      <w:r w:rsidRPr="00A550AD">
        <w:rPr>
          <w:rFonts w:ascii="Times New Roman" w:eastAsia="Times New Roman" w:hAnsi="Times New Roman" w:cs="Times New Roman"/>
          <w:sz w:val="24"/>
          <w:szCs w:val="24"/>
        </w:rPr>
        <w:t>согласно</w:t>
      </w:r>
      <w:proofErr w:type="gramEnd"/>
      <w:r w:rsidRPr="00A550AD">
        <w:rPr>
          <w:rFonts w:ascii="Times New Roman" w:eastAsia="Times New Roman" w:hAnsi="Times New Roman" w:cs="Times New Roman"/>
          <w:sz w:val="24"/>
          <w:szCs w:val="24"/>
        </w:rPr>
        <w:t xml:space="preserve"> регистрационной карточки, и выбранная система налогообложения доходов, полученных от осуществления предпринимательской деятельности. Такая справка будет предоставляться по письменному запросу по месту регистрации предпринимателя.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9.</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об утверждении Порядка направления органами ГНС налоговых уведомлений-решений и налоговых требований налогоплательщикам: приказы ГНАУ от 22.12.2010 г. №985, от 24.12.2010 г. №1037;</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Приказом ГНАУ от 22.12.2010 года №985 утвержден Порядок направления органами государственной налоговой службы налоговых уведомлений – решений  налогоплательщикам, согласно которого должен быть урегулирован процесс составления органами ГНС и направления налогоплательщикам 11 разновидностей налоговых уведомлений-решений. Данное разнообразие вызвано тем обстоятельством, что НКУ предоставляет органам налоговой службы право определять сумму начисления (уменьшения) денежного обязательства, уменьшение (увеличение) суммы бюджетного возмещения, и/или уменьшение отрицательного значения объекта обложения налогом на прибыль или отрицательного значения суммы НДС. </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lastRenderedPageBreak/>
        <w:t xml:space="preserve">Приказом ГНАУ от 24.12.2010 года №1037 утвержден Порядок направления органами государственной налоговой службы налоговых требований  налогоплательщикам. Если раньше органы ГНС направляли два налоговых требования (первое – по истечению предельного срока уплаты согласованной суммы налогового обязательства; второе – через 30 дней со дня направления первого требования), то в соответствии с утвержденным Порядком будет направляться только одно налоговое требование </w:t>
      </w:r>
      <w:r w:rsidRPr="00A550AD">
        <w:rPr>
          <w:rFonts w:ascii="Times New Roman" w:eastAsia="Times New Roman" w:hAnsi="Times New Roman" w:cs="Times New Roman"/>
          <w:sz w:val="24"/>
          <w:szCs w:val="24"/>
          <w:lang w:val="uk-UA"/>
        </w:rPr>
        <w:t xml:space="preserve">тем </w:t>
      </w:r>
      <w:r w:rsidRPr="00A550AD">
        <w:rPr>
          <w:rFonts w:ascii="Times New Roman" w:eastAsia="Times New Roman" w:hAnsi="Times New Roman" w:cs="Times New Roman"/>
          <w:sz w:val="24"/>
          <w:szCs w:val="24"/>
        </w:rPr>
        <w:t>налогоплательщик</w:t>
      </w:r>
      <w:proofErr w:type="spellStart"/>
      <w:r w:rsidRPr="00A550AD">
        <w:rPr>
          <w:rFonts w:ascii="Times New Roman" w:eastAsia="Times New Roman" w:hAnsi="Times New Roman" w:cs="Times New Roman"/>
          <w:sz w:val="24"/>
          <w:szCs w:val="24"/>
          <w:lang w:val="uk-UA"/>
        </w:rPr>
        <w:t>ам</w:t>
      </w:r>
      <w:proofErr w:type="spellEnd"/>
      <w:r w:rsidRPr="00A550AD">
        <w:rPr>
          <w:rFonts w:ascii="Times New Roman" w:eastAsia="Times New Roman" w:hAnsi="Times New Roman" w:cs="Times New Roman"/>
          <w:sz w:val="24"/>
          <w:szCs w:val="24"/>
        </w:rPr>
        <w:t xml:space="preserve">, </w:t>
      </w:r>
      <w:proofErr w:type="spellStart"/>
      <w:r w:rsidRPr="00A550AD">
        <w:rPr>
          <w:rFonts w:ascii="Times New Roman" w:eastAsia="Times New Roman" w:hAnsi="Times New Roman" w:cs="Times New Roman"/>
          <w:sz w:val="24"/>
          <w:szCs w:val="24"/>
        </w:rPr>
        <w:t>которы</w:t>
      </w:r>
      <w:proofErr w:type="spellEnd"/>
      <w:r w:rsidRPr="00A550AD">
        <w:rPr>
          <w:rFonts w:ascii="Times New Roman" w:eastAsia="Times New Roman" w:hAnsi="Times New Roman" w:cs="Times New Roman"/>
          <w:sz w:val="24"/>
          <w:szCs w:val="24"/>
          <w:lang w:val="uk-UA"/>
        </w:rPr>
        <w:t>е</w:t>
      </w:r>
      <w:r w:rsidRPr="00A550AD">
        <w:rPr>
          <w:rFonts w:ascii="Times New Roman" w:eastAsia="Times New Roman" w:hAnsi="Times New Roman" w:cs="Times New Roman"/>
          <w:sz w:val="24"/>
          <w:szCs w:val="24"/>
        </w:rPr>
        <w:t xml:space="preserve"> своевременно не </w:t>
      </w:r>
      <w:proofErr w:type="spellStart"/>
      <w:r w:rsidRPr="00A550AD">
        <w:rPr>
          <w:rFonts w:ascii="Times New Roman" w:eastAsia="Times New Roman" w:hAnsi="Times New Roman" w:cs="Times New Roman"/>
          <w:sz w:val="24"/>
          <w:szCs w:val="24"/>
        </w:rPr>
        <w:t>рассчитыва</w:t>
      </w:r>
      <w:proofErr w:type="spellEnd"/>
      <w:r w:rsidRPr="00A550AD">
        <w:rPr>
          <w:rFonts w:ascii="Times New Roman" w:eastAsia="Times New Roman" w:hAnsi="Times New Roman" w:cs="Times New Roman"/>
          <w:sz w:val="24"/>
          <w:szCs w:val="24"/>
          <w:lang w:val="uk-UA"/>
        </w:rPr>
        <w:t>ю</w:t>
      </w:r>
      <w:proofErr w:type="spellStart"/>
      <w:r w:rsidRPr="00A550AD">
        <w:rPr>
          <w:rFonts w:ascii="Times New Roman" w:eastAsia="Times New Roman" w:hAnsi="Times New Roman" w:cs="Times New Roman"/>
          <w:sz w:val="24"/>
          <w:szCs w:val="24"/>
        </w:rPr>
        <w:t>тся</w:t>
      </w:r>
      <w:proofErr w:type="spellEnd"/>
      <w:r w:rsidRPr="00A550AD">
        <w:rPr>
          <w:rFonts w:ascii="Times New Roman" w:eastAsia="Times New Roman" w:hAnsi="Times New Roman" w:cs="Times New Roman"/>
          <w:sz w:val="24"/>
          <w:szCs w:val="24"/>
        </w:rPr>
        <w:t xml:space="preserve"> с бюджетом. Данное налоговое требование будет содержать информацию о факте возникновения денежного обязательства и права налогового залога, размере налогового долга, а также напоминание об обязательности погашения налогового долга и возможных последствиях его непогашения в установленный срок. Налоговое требование направляется не ранее первого рабочего дня по истечении установленного Кодексом предельного срока уплаты суммы денежного обязательства.</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lang w:val="uk-UA"/>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10.</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 внесении изменений в законодательные акты Украины касательно векселей: Закон Украины от 09.09.2010 г. №2511;</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1. С 01 января 2011 года предусмотрена ответственность за нарушение условий выдачи векселей в виде штрафа от четырехсот до пятисот не облагаемых налогом минимумов доходов граждан (ст. 163</w:t>
      </w:r>
      <w:r w:rsidRPr="00A550AD">
        <w:rPr>
          <w:rFonts w:ascii="Times New Roman" w:eastAsia="Times New Roman" w:hAnsi="Times New Roman" w:cs="Times New Roman"/>
          <w:sz w:val="24"/>
          <w:szCs w:val="24"/>
          <w:vertAlign w:val="superscript"/>
        </w:rPr>
        <w:t>12</w:t>
      </w:r>
      <w:r w:rsidRPr="00A550AD">
        <w:rPr>
          <w:rFonts w:ascii="Times New Roman" w:eastAsia="Times New Roman" w:hAnsi="Times New Roman" w:cs="Times New Roman"/>
          <w:sz w:val="24"/>
          <w:szCs w:val="24"/>
        </w:rPr>
        <w:t xml:space="preserve"> </w:t>
      </w:r>
      <w:proofErr w:type="spellStart"/>
      <w:r w:rsidRPr="00A550AD">
        <w:rPr>
          <w:rFonts w:ascii="Times New Roman" w:eastAsia="Times New Roman" w:hAnsi="Times New Roman" w:cs="Times New Roman"/>
          <w:sz w:val="24"/>
          <w:szCs w:val="24"/>
        </w:rPr>
        <w:t>КУоАП</w:t>
      </w:r>
      <w:proofErr w:type="spellEnd"/>
      <w:r w:rsidRPr="00A550AD">
        <w:rPr>
          <w:rFonts w:ascii="Times New Roman" w:eastAsia="Times New Roman" w:hAnsi="Times New Roman" w:cs="Times New Roman"/>
          <w:sz w:val="24"/>
          <w:szCs w:val="24"/>
        </w:rPr>
        <w:t>, ст.13</w:t>
      </w:r>
      <w:r w:rsidRPr="00A550AD">
        <w:rPr>
          <w:rFonts w:ascii="Times New Roman" w:eastAsia="Times New Roman" w:hAnsi="Times New Roman" w:cs="Times New Roman"/>
          <w:sz w:val="24"/>
          <w:szCs w:val="24"/>
          <w:vertAlign w:val="superscript"/>
        </w:rPr>
        <w:t>1</w:t>
      </w:r>
      <w:r w:rsidRPr="00A550AD">
        <w:rPr>
          <w:rFonts w:ascii="Times New Roman" w:eastAsia="Times New Roman" w:hAnsi="Times New Roman" w:cs="Times New Roman"/>
          <w:sz w:val="24"/>
          <w:szCs w:val="24"/>
        </w:rPr>
        <w:t xml:space="preserve"> Закона Украины «Об обращении векселей в Украине»).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2. Опротестованные нотариусом векселя, кроме векселей, опротестованных в </w:t>
      </w:r>
      <w:proofErr w:type="spellStart"/>
      <w:r w:rsidRPr="00A550AD">
        <w:rPr>
          <w:rFonts w:ascii="Times New Roman" w:eastAsia="Times New Roman" w:hAnsi="Times New Roman" w:cs="Times New Roman"/>
          <w:sz w:val="24"/>
          <w:szCs w:val="24"/>
        </w:rPr>
        <w:t>недатировании</w:t>
      </w:r>
      <w:proofErr w:type="spellEnd"/>
      <w:r w:rsidRPr="00A550AD">
        <w:rPr>
          <w:rFonts w:ascii="Times New Roman" w:eastAsia="Times New Roman" w:hAnsi="Times New Roman" w:cs="Times New Roman"/>
          <w:sz w:val="24"/>
          <w:szCs w:val="24"/>
        </w:rPr>
        <w:t xml:space="preserve"> акцепта, включены в перечень исполнительных документов (п. 4</w:t>
      </w:r>
      <w:r w:rsidRPr="00A550AD">
        <w:rPr>
          <w:rFonts w:ascii="Times New Roman" w:eastAsia="Times New Roman" w:hAnsi="Times New Roman" w:cs="Times New Roman"/>
          <w:sz w:val="24"/>
          <w:szCs w:val="24"/>
          <w:vertAlign w:val="superscript"/>
        </w:rPr>
        <w:t>1</w:t>
      </w:r>
      <w:r w:rsidRPr="00A550AD">
        <w:rPr>
          <w:rFonts w:ascii="Times New Roman" w:eastAsia="Times New Roman" w:hAnsi="Times New Roman" w:cs="Times New Roman"/>
          <w:sz w:val="24"/>
          <w:szCs w:val="24"/>
        </w:rPr>
        <w:t xml:space="preserve"> ч. 2 ст. 3 Закона Украины «Об исполнительном производстве»).</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11.</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об особенностях уплаты сбора за специальное использование воды в связи с принятием Налогового Кодекса: письмо ГНАУ от 04.01.2011 г. №12/7/15-0817;</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Со вступлением в силу Налогового кодекса изменились правила администрирования сбора за специальное использование воды. Налоговый кодекс значительно расширяет круг плательщиков сбора, использующих воду. Так, п. 324.4 НКУ освобождает от уплаты сбора за воду, использованную для удовлетворения питьевых и санитарно-гигиенических нужд, только население. По мнению ГНАУ, высказанному письмом от 04.01.2011г. за №12/7/15-0817, все прочие </w:t>
      </w:r>
      <w:proofErr w:type="spellStart"/>
      <w:r w:rsidRPr="00A550AD">
        <w:rPr>
          <w:rFonts w:ascii="Times New Roman" w:eastAsia="Times New Roman" w:hAnsi="Times New Roman" w:cs="Times New Roman"/>
          <w:sz w:val="24"/>
          <w:szCs w:val="24"/>
        </w:rPr>
        <w:t>хозсубъекты</w:t>
      </w:r>
      <w:proofErr w:type="spellEnd"/>
      <w:r w:rsidRPr="00A550AD">
        <w:rPr>
          <w:rFonts w:ascii="Times New Roman" w:eastAsia="Times New Roman" w:hAnsi="Times New Roman" w:cs="Times New Roman"/>
          <w:sz w:val="24"/>
          <w:szCs w:val="24"/>
        </w:rPr>
        <w:t xml:space="preserve"> — предприятия и предприниматели, использующие воду для аналогичных нужд, должны уплачивать этот сбор.</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Исключение составляют только </w:t>
      </w:r>
      <w:proofErr w:type="spellStart"/>
      <w:r w:rsidRPr="00A550AD">
        <w:rPr>
          <w:rFonts w:ascii="Times New Roman" w:eastAsia="Times New Roman" w:hAnsi="Times New Roman" w:cs="Times New Roman"/>
          <w:sz w:val="24"/>
          <w:szCs w:val="24"/>
        </w:rPr>
        <w:t>хозсубъекты</w:t>
      </w:r>
      <w:proofErr w:type="spellEnd"/>
      <w:r w:rsidRPr="00A550AD">
        <w:rPr>
          <w:rFonts w:ascii="Times New Roman" w:eastAsia="Times New Roman" w:hAnsi="Times New Roman" w:cs="Times New Roman"/>
          <w:sz w:val="24"/>
          <w:szCs w:val="24"/>
        </w:rPr>
        <w:t xml:space="preserve">, использующие воду переданную водопользователем-поставщиком другим водопользователям без заключения с </w:t>
      </w:r>
      <w:proofErr w:type="gramStart"/>
      <w:r w:rsidRPr="00A550AD">
        <w:rPr>
          <w:rFonts w:ascii="Times New Roman" w:eastAsia="Times New Roman" w:hAnsi="Times New Roman" w:cs="Times New Roman"/>
          <w:sz w:val="24"/>
          <w:szCs w:val="24"/>
        </w:rPr>
        <w:t>последними</w:t>
      </w:r>
      <w:proofErr w:type="gramEnd"/>
      <w:r w:rsidRPr="00A550AD">
        <w:rPr>
          <w:rFonts w:ascii="Times New Roman" w:eastAsia="Times New Roman" w:hAnsi="Times New Roman" w:cs="Times New Roman"/>
          <w:sz w:val="24"/>
          <w:szCs w:val="24"/>
        </w:rPr>
        <w:t xml:space="preserve"> договора на поставку воды, сбор исчисляется и уплачивается таким водопользователем-поставщиком. Предприятия и предприниматели же, пользующиеся водой на основании договоров с поставщиком воды, должны обязательно обратить внимание на лимиты, установленные в договоре. Поскольку в случае отсутствия у </w:t>
      </w:r>
      <w:proofErr w:type="spellStart"/>
      <w:r w:rsidRPr="00A550AD">
        <w:rPr>
          <w:rFonts w:ascii="Times New Roman" w:eastAsia="Times New Roman" w:hAnsi="Times New Roman" w:cs="Times New Roman"/>
          <w:sz w:val="24"/>
          <w:szCs w:val="24"/>
        </w:rPr>
        <w:t>хозсубъекта</w:t>
      </w:r>
      <w:proofErr w:type="spellEnd"/>
      <w:r w:rsidRPr="00A550AD">
        <w:rPr>
          <w:rFonts w:ascii="Times New Roman" w:eastAsia="Times New Roman" w:hAnsi="Times New Roman" w:cs="Times New Roman"/>
          <w:sz w:val="24"/>
          <w:szCs w:val="24"/>
        </w:rPr>
        <w:t xml:space="preserve"> разрешения на водопользование с установленными лимитами за весь объем использованной воды сбор уплачивается в пятикратном размере, как за сверхлимитное водопользование.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lastRenderedPageBreak/>
        <w:t>12.</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 порядке информирования работодателей налогоплательщика о наличии нарушений применения НСЛ: приказ ГНАУ от 24.12.2010 г.№1023;</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По требованию подпункта 169.2.4 НКУ Приказом №1023 ГНАУ утвердила </w:t>
      </w:r>
      <w:r w:rsidRPr="00A550AD">
        <w:rPr>
          <w:rFonts w:ascii="Times New Roman" w:eastAsia="Times New Roman" w:hAnsi="Times New Roman" w:cs="Times New Roman"/>
          <w:i/>
          <w:iCs/>
          <w:sz w:val="24"/>
          <w:szCs w:val="24"/>
        </w:rPr>
        <w:t>Порядок информирования работодателей плательщика налога о наличии нарушений применения налоговой социальной льготы, о лишении плательщика налога или о восстановлении его права на налоговую социальную льготу и формы Уведомления о наличии указанных нарушений</w:t>
      </w:r>
      <w:r w:rsidRPr="00A550AD">
        <w:rPr>
          <w:rFonts w:ascii="Times New Roman" w:eastAsia="Times New Roman" w:hAnsi="Times New Roman" w:cs="Times New Roman"/>
          <w:sz w:val="24"/>
          <w:szCs w:val="24"/>
        </w:rPr>
        <w:t xml:space="preserve">.  Органам ГНС вменено в обязанность </w:t>
      </w:r>
      <w:proofErr w:type="spellStart"/>
      <w:proofErr w:type="gramStart"/>
      <w:r w:rsidRPr="00A550AD">
        <w:rPr>
          <w:rFonts w:ascii="Times New Roman" w:eastAsia="Times New Roman" w:hAnsi="Times New Roman" w:cs="Times New Roman"/>
          <w:sz w:val="24"/>
          <w:szCs w:val="24"/>
          <w:lang w:val="uk-UA"/>
        </w:rPr>
        <w:t>уведомлять</w:t>
      </w:r>
      <w:proofErr w:type="spellEnd"/>
      <w:proofErr w:type="gramEnd"/>
      <w:r w:rsidRPr="00A550AD">
        <w:rPr>
          <w:rFonts w:ascii="Times New Roman" w:eastAsia="Times New Roman" w:hAnsi="Times New Roman" w:cs="Times New Roman"/>
          <w:sz w:val="24"/>
          <w:szCs w:val="24"/>
          <w:lang w:val="uk-UA"/>
        </w:rPr>
        <w:t xml:space="preserve"> </w:t>
      </w:r>
      <w:proofErr w:type="spellStart"/>
      <w:r w:rsidRPr="00A550AD">
        <w:rPr>
          <w:rFonts w:ascii="Times New Roman" w:eastAsia="Times New Roman" w:hAnsi="Times New Roman" w:cs="Times New Roman"/>
          <w:sz w:val="24"/>
          <w:szCs w:val="24"/>
          <w:lang w:val="uk-UA"/>
        </w:rPr>
        <w:t>работодателей</w:t>
      </w:r>
      <w:proofErr w:type="spellEnd"/>
      <w:r w:rsidRPr="00A550AD">
        <w:rPr>
          <w:rFonts w:ascii="Times New Roman" w:eastAsia="Times New Roman" w:hAnsi="Times New Roman" w:cs="Times New Roman"/>
          <w:sz w:val="24"/>
          <w:szCs w:val="24"/>
          <w:lang w:val="uk-UA"/>
        </w:rPr>
        <w:t xml:space="preserve"> о </w:t>
      </w:r>
      <w:proofErr w:type="spellStart"/>
      <w:r w:rsidRPr="00A550AD">
        <w:rPr>
          <w:rFonts w:ascii="Times New Roman" w:eastAsia="Times New Roman" w:hAnsi="Times New Roman" w:cs="Times New Roman"/>
          <w:sz w:val="24"/>
          <w:szCs w:val="24"/>
          <w:lang w:val="uk-UA"/>
        </w:rPr>
        <w:t>правомерности</w:t>
      </w:r>
      <w:proofErr w:type="spellEnd"/>
      <w:r w:rsidRPr="00A550AD">
        <w:rPr>
          <w:rFonts w:ascii="Times New Roman" w:eastAsia="Times New Roman" w:hAnsi="Times New Roman" w:cs="Times New Roman"/>
          <w:sz w:val="24"/>
          <w:szCs w:val="24"/>
          <w:lang w:val="uk-UA"/>
        </w:rPr>
        <w:t xml:space="preserve"> </w:t>
      </w:r>
      <w:proofErr w:type="spellStart"/>
      <w:r w:rsidRPr="00A550AD">
        <w:rPr>
          <w:rFonts w:ascii="Times New Roman" w:eastAsia="Times New Roman" w:hAnsi="Times New Roman" w:cs="Times New Roman"/>
          <w:sz w:val="24"/>
          <w:szCs w:val="24"/>
          <w:lang w:val="uk-UA"/>
        </w:rPr>
        <w:t>применения</w:t>
      </w:r>
      <w:proofErr w:type="spellEnd"/>
      <w:r w:rsidRPr="00A550AD">
        <w:rPr>
          <w:rFonts w:ascii="Times New Roman" w:eastAsia="Times New Roman" w:hAnsi="Times New Roman" w:cs="Times New Roman"/>
          <w:sz w:val="24"/>
          <w:szCs w:val="24"/>
          <w:lang w:val="uk-UA"/>
        </w:rPr>
        <w:t xml:space="preserve">  НСЛ к доходам </w:t>
      </w:r>
      <w:proofErr w:type="spellStart"/>
      <w:r w:rsidRPr="00A550AD">
        <w:rPr>
          <w:rFonts w:ascii="Times New Roman" w:eastAsia="Times New Roman" w:hAnsi="Times New Roman" w:cs="Times New Roman"/>
          <w:sz w:val="24"/>
          <w:szCs w:val="24"/>
          <w:lang w:val="uk-UA"/>
        </w:rPr>
        <w:t>их</w:t>
      </w:r>
      <w:proofErr w:type="spellEnd"/>
      <w:r w:rsidRPr="00A550AD">
        <w:rPr>
          <w:rFonts w:ascii="Times New Roman" w:eastAsia="Times New Roman" w:hAnsi="Times New Roman" w:cs="Times New Roman"/>
          <w:sz w:val="24"/>
          <w:szCs w:val="24"/>
          <w:lang w:val="uk-UA"/>
        </w:rPr>
        <w:t xml:space="preserve"> </w:t>
      </w:r>
      <w:proofErr w:type="spellStart"/>
      <w:r w:rsidRPr="00A550AD">
        <w:rPr>
          <w:rFonts w:ascii="Times New Roman" w:eastAsia="Times New Roman" w:hAnsi="Times New Roman" w:cs="Times New Roman"/>
          <w:sz w:val="24"/>
          <w:szCs w:val="24"/>
          <w:lang w:val="uk-UA"/>
        </w:rPr>
        <w:t>работников</w:t>
      </w:r>
      <w:proofErr w:type="spellEnd"/>
      <w:r w:rsidRPr="00A550AD">
        <w:rPr>
          <w:rFonts w:ascii="Times New Roman" w:eastAsia="Times New Roman" w:hAnsi="Times New Roman" w:cs="Times New Roman"/>
          <w:sz w:val="24"/>
          <w:szCs w:val="24"/>
          <w:lang w:val="uk-UA"/>
        </w:rPr>
        <w:t xml:space="preserve"> в </w:t>
      </w:r>
      <w:proofErr w:type="spellStart"/>
      <w:r w:rsidRPr="00A550AD">
        <w:rPr>
          <w:rFonts w:ascii="Times New Roman" w:eastAsia="Times New Roman" w:hAnsi="Times New Roman" w:cs="Times New Roman"/>
          <w:sz w:val="24"/>
          <w:szCs w:val="24"/>
          <w:lang w:val="uk-UA"/>
        </w:rPr>
        <w:t>виде</w:t>
      </w:r>
      <w:proofErr w:type="spellEnd"/>
      <w:r w:rsidRPr="00A550AD">
        <w:rPr>
          <w:rFonts w:ascii="Times New Roman" w:eastAsia="Times New Roman" w:hAnsi="Times New Roman" w:cs="Times New Roman"/>
          <w:sz w:val="24"/>
          <w:szCs w:val="24"/>
          <w:lang w:val="uk-UA"/>
        </w:rPr>
        <w:t xml:space="preserve"> </w:t>
      </w:r>
      <w:proofErr w:type="spellStart"/>
      <w:r w:rsidRPr="00A550AD">
        <w:rPr>
          <w:rFonts w:ascii="Times New Roman" w:eastAsia="Times New Roman" w:hAnsi="Times New Roman" w:cs="Times New Roman"/>
          <w:sz w:val="24"/>
          <w:szCs w:val="24"/>
          <w:lang w:val="uk-UA"/>
        </w:rPr>
        <w:t>заработной</w:t>
      </w:r>
      <w:proofErr w:type="spellEnd"/>
      <w:r w:rsidRPr="00A550AD">
        <w:rPr>
          <w:rFonts w:ascii="Times New Roman" w:eastAsia="Times New Roman" w:hAnsi="Times New Roman" w:cs="Times New Roman"/>
          <w:sz w:val="24"/>
          <w:szCs w:val="24"/>
          <w:lang w:val="uk-UA"/>
        </w:rPr>
        <w:t xml:space="preserve"> </w:t>
      </w:r>
      <w:proofErr w:type="spellStart"/>
      <w:r w:rsidRPr="00A550AD">
        <w:rPr>
          <w:rFonts w:ascii="Times New Roman" w:eastAsia="Times New Roman" w:hAnsi="Times New Roman" w:cs="Times New Roman"/>
          <w:sz w:val="24"/>
          <w:szCs w:val="24"/>
          <w:lang w:val="uk-UA"/>
        </w:rPr>
        <w:t>платы</w:t>
      </w:r>
      <w:proofErr w:type="spellEnd"/>
      <w:r w:rsidRPr="00A550AD">
        <w:rPr>
          <w:rFonts w:ascii="Times New Roman" w:eastAsia="Times New Roman" w:hAnsi="Times New Roman" w:cs="Times New Roman"/>
          <w:sz w:val="24"/>
          <w:szCs w:val="24"/>
          <w:lang w:val="uk-UA"/>
        </w:rPr>
        <w:t xml:space="preserve">.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Опираясь на этот Порядок, начиная с 31.01.2011 года, налоговая, выявив факт  нарушения, в применении НСЛ, в  результате ее получения более чем по одному месту начисления (выплаты) дохода или при получении доходов, к которым НСЛ не может быть применена (</w:t>
      </w:r>
      <w:proofErr w:type="spellStart"/>
      <w:r w:rsidRPr="00A550AD">
        <w:rPr>
          <w:rFonts w:ascii="Times New Roman" w:eastAsia="Times New Roman" w:hAnsi="Times New Roman" w:cs="Times New Roman"/>
          <w:sz w:val="24"/>
          <w:szCs w:val="24"/>
        </w:rPr>
        <w:t>пп</w:t>
      </w:r>
      <w:proofErr w:type="spellEnd"/>
      <w:r w:rsidRPr="00A550AD">
        <w:rPr>
          <w:rFonts w:ascii="Times New Roman" w:eastAsia="Times New Roman" w:hAnsi="Times New Roman" w:cs="Times New Roman"/>
          <w:sz w:val="24"/>
          <w:szCs w:val="24"/>
        </w:rPr>
        <w:t>. 169.2.3 НКУ), составляет уведомление по типовой форме (которая утверждена Приказом  №1023) и отправляет ее работодателю.</w:t>
      </w:r>
      <w:proofErr w:type="gramEnd"/>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Получив уведомление, работодателю необходимо сразу же принять меры. Первым делом получить заявление работника об отказе от НСЛ, а затем начислить и удержать НДФЛ за весь период незаконного применения льготы, и начислить за счет работника штраф в размере 100% от суммы недоплаты этого налога в соответствии с пп.169.2.4 ст.169 НКУ.</w:t>
      </w:r>
    </w:p>
    <w:p w:rsidR="00A550AD" w:rsidRPr="00A550AD" w:rsidRDefault="00A550AD" w:rsidP="00A550AD">
      <w:pPr>
        <w:spacing w:before="100" w:beforeAutospacing="1"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Но не только проблема квалификации незаконного применения НСЛ вызывает беспокойство. В Порядке №1023  настораживает норма п.8.</w:t>
      </w:r>
      <w:r w:rsidRPr="00A550AD">
        <w:rPr>
          <w:rFonts w:ascii="Times New Roman" w:eastAsia="Times New Roman" w:hAnsi="Times New Roman" w:cs="Times New Roman"/>
          <w:sz w:val="24"/>
          <w:szCs w:val="24"/>
          <w:lang w:val="uk-UA"/>
        </w:rPr>
        <w:t xml:space="preserve">, в </w:t>
      </w:r>
      <w:proofErr w:type="spellStart"/>
      <w:r w:rsidRPr="00A550AD">
        <w:rPr>
          <w:rFonts w:ascii="Times New Roman" w:eastAsia="Times New Roman" w:hAnsi="Times New Roman" w:cs="Times New Roman"/>
          <w:sz w:val="24"/>
          <w:szCs w:val="24"/>
          <w:lang w:val="uk-UA"/>
        </w:rPr>
        <w:t>ней</w:t>
      </w:r>
      <w:proofErr w:type="spellEnd"/>
      <w:r w:rsidRPr="00A550AD">
        <w:rPr>
          <w:rFonts w:ascii="Times New Roman" w:eastAsia="Times New Roman" w:hAnsi="Times New Roman" w:cs="Times New Roman"/>
          <w:sz w:val="24"/>
          <w:szCs w:val="24"/>
          <w:lang w:val="uk-UA"/>
        </w:rPr>
        <w:t xml:space="preserve"> сказано, ч</w:t>
      </w:r>
      <w:r w:rsidRPr="00A550AD">
        <w:rPr>
          <w:rFonts w:ascii="Times New Roman" w:eastAsia="Times New Roman" w:hAnsi="Times New Roman" w:cs="Times New Roman"/>
          <w:sz w:val="24"/>
          <w:szCs w:val="24"/>
        </w:rPr>
        <w:t xml:space="preserve">то уведомление органа ГНС о наличии нарушений применения НСЛ может быть отозвано. Причины отзыва не указаны, но можно предположить, что ранее направленное уведомление может быть отозвано по причине допущенной налоговыми органами ошибки. </w:t>
      </w:r>
    </w:p>
    <w:p w:rsidR="00A550AD" w:rsidRPr="00A550AD" w:rsidRDefault="00A550AD" w:rsidP="00A550AD">
      <w:pPr>
        <w:spacing w:before="120" w:after="100" w:afterAutospacing="1"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13.</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об обязанностях налоговых агентов согласно Налоговому Кодексу: письмо ГНАУ от 14.01.2011 г. №514;</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В соответствии с подпунктом «</w:t>
      </w:r>
      <w:proofErr w:type="spellStart"/>
      <w:r w:rsidRPr="00A550AD">
        <w:rPr>
          <w:rFonts w:ascii="Times New Roman" w:eastAsia="Times New Roman" w:hAnsi="Times New Roman" w:cs="Times New Roman"/>
          <w:sz w:val="24"/>
          <w:szCs w:val="24"/>
        </w:rPr>
        <w:t>ґ</w:t>
      </w:r>
      <w:proofErr w:type="spellEnd"/>
      <w:r w:rsidRPr="00A550AD">
        <w:rPr>
          <w:rFonts w:ascii="Times New Roman" w:eastAsia="Times New Roman" w:hAnsi="Times New Roman" w:cs="Times New Roman"/>
          <w:sz w:val="24"/>
          <w:szCs w:val="24"/>
        </w:rPr>
        <w:t xml:space="preserve">» пункта 176.2 статьи 176 НКУ налоговые агенты обязаны нести ответственность в соответствии с законом в случае неподачи или несвоевременного представления налогового расчета. Отмеченные в нем суммы налога, уплачиваемые в бюджет, являются согласованными суммами налоговых обязательств налогового агента и в случае неполной или несвоевременной их уплаты взыскиваются в бюджет вместе с уплатой штрафов и пени. </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 xml:space="preserve">Пункт 54.2 статьи 54 НКУ предусматривает, что денежное обязательство относительно суммы налоговых обязательств по налогу, подлежащих удержанию и уплате (перечислению) в бюджет, в случае начисления (выплаты) дохода в интересах плательщика налога - физического лица, считается согласованным налоговым агентом или плательщиком налога, который получает доходы не от налогового агента, в момент возникновения налогового обязательства, который определяется по календарной дате, установленной разделом </w:t>
      </w:r>
      <w:r w:rsidRPr="00A550AD">
        <w:rPr>
          <w:rFonts w:ascii="Times New Roman" w:eastAsia="Times New Roman" w:hAnsi="Times New Roman" w:cs="Times New Roman"/>
          <w:sz w:val="24"/>
          <w:szCs w:val="24"/>
          <w:lang w:val="en-US"/>
        </w:rPr>
        <w:t>IV</w:t>
      </w:r>
      <w:proofErr w:type="gramEnd"/>
      <w:r w:rsidRPr="00A550AD">
        <w:rPr>
          <w:rFonts w:ascii="Times New Roman" w:eastAsia="Times New Roman" w:hAnsi="Times New Roman" w:cs="Times New Roman"/>
          <w:sz w:val="24"/>
          <w:szCs w:val="24"/>
        </w:rPr>
        <w:t xml:space="preserve"> НКУ для предельного срока уплаты налога в бюджет.</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Абзацем вторым подпункта 168.1.4 пункта 168.1 статьи 168 НКУ установлено, что для целей раздела </w:t>
      </w:r>
      <w:r w:rsidRPr="00A550AD">
        <w:rPr>
          <w:rFonts w:ascii="Times New Roman" w:eastAsia="Times New Roman" w:hAnsi="Times New Roman" w:cs="Times New Roman"/>
          <w:sz w:val="24"/>
          <w:szCs w:val="24"/>
          <w:lang w:val="en-US"/>
        </w:rPr>
        <w:t>IV</w:t>
      </w:r>
      <w:r w:rsidRPr="00A550AD">
        <w:rPr>
          <w:rFonts w:ascii="Times New Roman" w:eastAsia="Times New Roman" w:hAnsi="Times New Roman" w:cs="Times New Roman"/>
          <w:sz w:val="24"/>
          <w:szCs w:val="24"/>
        </w:rPr>
        <w:t xml:space="preserve"> и пункта 54.2 статьи 54 этого Кодекса под термином «предельный </w:t>
      </w:r>
      <w:r w:rsidRPr="00A550AD">
        <w:rPr>
          <w:rFonts w:ascii="Times New Roman" w:eastAsia="Times New Roman" w:hAnsi="Times New Roman" w:cs="Times New Roman"/>
          <w:sz w:val="24"/>
          <w:szCs w:val="24"/>
        </w:rPr>
        <w:lastRenderedPageBreak/>
        <w:t xml:space="preserve">срок уплаты в бюджет налога» понимаются сроки уплаты налога, определенные вышеуказанным пунктом. Пунктом 168.1 статьи 168 НКУ установлено, что: </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налог уплачивается налоговым агентом в бюджет во время выплаты облагаемого налогом дохода (подпункт 168.1.2 НКУ); </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 xml:space="preserve">- если облагаемый налогом доход предоставляется в </w:t>
      </w:r>
      <w:proofErr w:type="spellStart"/>
      <w:r w:rsidRPr="00A550AD">
        <w:rPr>
          <w:rFonts w:ascii="Times New Roman" w:eastAsia="Times New Roman" w:hAnsi="Times New Roman" w:cs="Times New Roman"/>
          <w:sz w:val="24"/>
          <w:szCs w:val="24"/>
        </w:rPr>
        <w:t>неденежной</w:t>
      </w:r>
      <w:proofErr w:type="spellEnd"/>
      <w:r w:rsidRPr="00A550AD">
        <w:rPr>
          <w:rFonts w:ascii="Times New Roman" w:eastAsia="Times New Roman" w:hAnsi="Times New Roman" w:cs="Times New Roman"/>
          <w:sz w:val="24"/>
          <w:szCs w:val="24"/>
        </w:rPr>
        <w:t xml:space="preserve"> форме или выплачивается наличными из кассы налогового агента, налог уплачивается в бюджет в течение банковского дня, следующего за днем такого начисления (выплаты, предоставления) дохода физическому лицу (подпункт 168.1.4 НКУ). </w:t>
      </w:r>
    </w:p>
    <w:p w:rsidR="00A550AD" w:rsidRPr="00A550AD" w:rsidRDefault="00A550AD" w:rsidP="00A550AD">
      <w:pPr>
        <w:spacing w:before="120" w:after="120" w:line="240" w:lineRule="auto"/>
        <w:ind w:left="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left="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 </w:t>
      </w:r>
    </w:p>
    <w:p w:rsidR="00A550AD" w:rsidRPr="00A550AD" w:rsidRDefault="00A550AD" w:rsidP="00A550AD">
      <w:pPr>
        <w:spacing w:before="120" w:after="120" w:line="240" w:lineRule="auto"/>
        <w:ind w:firstLine="284"/>
        <w:rPr>
          <w:rFonts w:ascii="Times New Roman" w:eastAsia="Times New Roman" w:hAnsi="Times New Roman" w:cs="Times New Roman"/>
          <w:sz w:val="24"/>
          <w:szCs w:val="24"/>
        </w:rPr>
      </w:pPr>
      <w:r w:rsidRPr="00A550AD">
        <w:rPr>
          <w:rFonts w:ascii="Times New Roman" w:eastAsia="Times New Roman" w:hAnsi="Times New Roman" w:cs="Times New Roman"/>
          <w:b/>
          <w:bCs/>
          <w:caps/>
          <w:color w:val="993300"/>
          <w:sz w:val="24"/>
          <w:szCs w:val="24"/>
        </w:rPr>
        <w:t>14.</w:t>
      </w:r>
      <w:r w:rsidRPr="00A550AD">
        <w:rPr>
          <w:rFonts w:ascii="Times New Roman" w:eastAsia="Times New Roman" w:hAnsi="Times New Roman" w:cs="Times New Roman"/>
          <w:b/>
          <w:bCs/>
          <w:caps/>
          <w:color w:val="993300"/>
          <w:sz w:val="14"/>
          <w:szCs w:val="14"/>
        </w:rPr>
        <w:t xml:space="preserve">     </w:t>
      </w:r>
      <w:r w:rsidRPr="00A550AD">
        <w:rPr>
          <w:rFonts w:ascii="Times New Roman" w:eastAsia="Times New Roman" w:hAnsi="Times New Roman" w:cs="Times New Roman"/>
          <w:b/>
          <w:bCs/>
          <w:caps/>
          <w:color w:val="993300"/>
          <w:sz w:val="24"/>
          <w:szCs w:val="24"/>
        </w:rPr>
        <w:t>об отмене взносов в ПФУ при купле-продаже валюты, о сроках подачи декларации по НДФЛ за январь, об утверждении обновленной формы за средства, выданные под отчет, об определении минимальной суммы арендного платежа за недвижимое имущество физлиц.</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1. Об отмене взносов в ПФУ при купле-продаже валюты.</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Верховная Рада Украины внесла изменения в Закон Украины «О сборе на обязательное государственное пенсионное страхование». Изменениями из перечня плательщиков сбора на обязательное государственное пенсионное страхование исключены юридические и физические лица, осуществляющие операции по купле-продаже безналичной иностранной валюты за гривну. Закон Украины от 13.01.2011 г. №2921-VI вступил в силу 28.01.2011 г.</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2. О сроках подачи декларации по НДФЛ за январь 2011 года.</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t>ГНАУ в своем письме от 17.02.2011 г. № 4486/7/17-0217 ссылается на пункт 46.6 НКУ, который гласит: «до определения новых форм деклараций (расчетов), которые вступают в силу для составления отчетности по налоговому периоду, следующему за налоговым периодом, в котором произошло их обнародование, действуют формы деклараций (расчетов), действующие до такого определения».</w:t>
      </w:r>
      <w:proofErr w:type="gramEnd"/>
      <w:r w:rsidRPr="00A550AD">
        <w:rPr>
          <w:rFonts w:ascii="Times New Roman" w:eastAsia="Times New Roman" w:hAnsi="Times New Roman" w:cs="Times New Roman"/>
          <w:sz w:val="24"/>
          <w:szCs w:val="24"/>
        </w:rPr>
        <w:t xml:space="preserve"> Исходя из этого, ГНАУ приходит к выводу, что декларацию за январь 2011 года необходимо подать не позже срока, установленного для подачи декларации за февраль 2011 года.</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3. Об утверждении обновленной формы за средства, выданные под отчет.</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ГНАУ утвердила новую форму Отчета об использовании средств, выданных на командировку или под отчет, и Порядок его составления. Приказ ГНАУ № 996 от 23.12.2010 г. вступил в силу 31.01.2011г.</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4. Об определении минимальной суммы арендного платежа за недвижимое имущество физических лиц.</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Постановлением Кабинета Министров Украины от 29.12.2010 года № 1253 утверждена Методика определения минимальной суммы арендного платежа за недвижимое имущество физических лиц. Данное постановление вступило в силу 21.01.2011 г.</w:t>
      </w:r>
    </w:p>
    <w:p w:rsidR="00A550AD" w:rsidRPr="00A550AD" w:rsidRDefault="00A550AD" w:rsidP="00A550AD">
      <w:pPr>
        <w:spacing w:before="100" w:beforeAutospacing="1" w:after="100" w:afterAutospacing="1" w:line="240" w:lineRule="auto"/>
        <w:ind w:left="360"/>
        <w:rPr>
          <w:rFonts w:ascii="Times New Roman" w:eastAsia="Times New Roman" w:hAnsi="Times New Roman" w:cs="Times New Roman"/>
          <w:sz w:val="24"/>
          <w:szCs w:val="24"/>
        </w:rPr>
      </w:pPr>
      <w:proofErr w:type="gramStart"/>
      <w:r w:rsidRPr="00A550AD">
        <w:rPr>
          <w:rFonts w:ascii="Times New Roman" w:eastAsia="Times New Roman" w:hAnsi="Times New Roman" w:cs="Times New Roman"/>
          <w:sz w:val="24"/>
          <w:szCs w:val="24"/>
        </w:rPr>
        <w:lastRenderedPageBreak/>
        <w:t>В соответствии с данной методикой арендаторы (кроме арендаторов – физических лиц, не являющихся субъектами хозяйственной деятельности), которые согласно подпункта 170.1.2 пункта 170.1 статьи 170 НКУ являются налоговыми агентами налогоплательщиков-арендодателей, определяют при начислении дохода от предоставления в аренду (субаренду), жилищного найма (поднайма) недвижимого имущества, кроме земельного участка сельскохозяйственного назначения, земельной доли (пая), имущественного пая минимальную сумму арендного платежа за полный или неполный</w:t>
      </w:r>
      <w:proofErr w:type="gramEnd"/>
      <w:r w:rsidRPr="00A550AD">
        <w:rPr>
          <w:rFonts w:ascii="Times New Roman" w:eastAsia="Times New Roman" w:hAnsi="Times New Roman" w:cs="Times New Roman"/>
          <w:sz w:val="24"/>
          <w:szCs w:val="24"/>
        </w:rPr>
        <w:t xml:space="preserve"> месяц такой аренды. </w:t>
      </w:r>
    </w:p>
    <w:p w:rsidR="00A550AD" w:rsidRPr="00A550AD" w:rsidRDefault="00A550AD" w:rsidP="00A550AD">
      <w:pPr>
        <w:spacing w:before="120" w:after="120" w:line="240" w:lineRule="auto"/>
        <w:ind w:left="360"/>
        <w:rPr>
          <w:rFonts w:ascii="Times New Roman" w:eastAsia="Times New Roman" w:hAnsi="Times New Roman" w:cs="Times New Roman"/>
          <w:sz w:val="24"/>
          <w:szCs w:val="24"/>
        </w:rPr>
      </w:pPr>
      <w:r w:rsidRPr="00A550AD">
        <w:rPr>
          <w:rFonts w:ascii="Times New Roman" w:eastAsia="Times New Roman" w:hAnsi="Times New Roman" w:cs="Times New Roman"/>
          <w:sz w:val="24"/>
          <w:szCs w:val="24"/>
        </w:rPr>
        <w:t>Если орган местного самоуправления не определил минимальную стоимость месячной аренды 1 кв. метра общей площади недвижимого имущества или не обнародовал ее до начала отчетного налогового года способом, наиболее доступным для жителей территориальной общины, то объект обложения НДФЛ определяется арендатором исходя из размера арендной платы, предусмотренного в договоре аренды.</w:t>
      </w:r>
    </w:p>
    <w:p w:rsidR="0097220F" w:rsidRDefault="0097220F"/>
    <w:sectPr w:rsidR="0097220F" w:rsidSect="00EE2C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550AD"/>
    <w:rsid w:val="0097220F"/>
    <w:rsid w:val="00A550AD"/>
    <w:rsid w:val="00EE2C36"/>
    <w:rsid w:val="00F95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C36"/>
  </w:style>
  <w:style w:type="paragraph" w:styleId="1">
    <w:name w:val="heading 1"/>
    <w:basedOn w:val="a"/>
    <w:link w:val="10"/>
    <w:uiPriority w:val="9"/>
    <w:qFormat/>
    <w:rsid w:val="00A550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50AD"/>
    <w:rPr>
      <w:rFonts w:ascii="Times New Roman" w:eastAsia="Times New Roman" w:hAnsi="Times New Roman" w:cs="Times New Roman"/>
      <w:b/>
      <w:bCs/>
      <w:kern w:val="36"/>
      <w:sz w:val="48"/>
      <w:szCs w:val="48"/>
    </w:rPr>
  </w:style>
  <w:style w:type="character" w:customStyle="1" w:styleId="spelle">
    <w:name w:val="spelle"/>
    <w:basedOn w:val="a0"/>
    <w:rsid w:val="00A550AD"/>
  </w:style>
</w:styles>
</file>

<file path=word/webSettings.xml><?xml version="1.0" encoding="utf-8"?>
<w:webSettings xmlns:r="http://schemas.openxmlformats.org/officeDocument/2006/relationships" xmlns:w="http://schemas.openxmlformats.org/wordprocessingml/2006/main">
  <w:divs>
    <w:div w:id="166246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3231</Words>
  <Characters>18421</Characters>
  <Application>Microsoft Office Word</Application>
  <DocSecurity>0</DocSecurity>
  <Lines>153</Lines>
  <Paragraphs>43</Paragraphs>
  <ScaleCrop>false</ScaleCrop>
  <Company>Grizli777</Company>
  <LinksUpToDate>false</LinksUpToDate>
  <CharactersWithSpaces>21609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2011-03-12T14:51:00Z</dcterms:created>
  <dcterms:modified xsi:type="dcterms:W3CDTF">2011-03-12T14:53:00Z</dcterms:modified>
</cp:coreProperties>
</file>